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3C2D87" w:rsidP="003C2D87">
            <w:pPr>
              <w:spacing w:after="0" w:line="240" w:lineRule="auto"/>
              <w:rPr>
                <w:sz w:val="24"/>
                <w:szCs w:val="24"/>
                <w:lang w:eastAsia="en-US"/>
              </w:rPr>
            </w:pPr>
            <w:r>
              <w:t>Fall/Winter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3C2D87">
        <w:trPr>
          <w:trHeight w:val="675"/>
        </w:trPr>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601E22" w:rsidRDefault="003C2D87" w:rsidP="00C3748C">
            <w:pPr>
              <w:spacing w:after="0" w:line="240" w:lineRule="auto"/>
            </w:pPr>
            <w:r>
              <w:t>May 2014</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Default="00A65AE0" w:rsidP="00267DAB">
            <w:pPr>
              <w:spacing w:after="0" w:line="240" w:lineRule="auto"/>
            </w:pPr>
            <w:r w:rsidRPr="00A51245">
              <w:t>Jan. 201</w:t>
            </w:r>
            <w:r w:rsidR="00267DAB">
              <w:t>3</w:t>
            </w:r>
          </w:p>
          <w:p w:rsidR="003C2D87" w:rsidRDefault="003C2D87" w:rsidP="00267DAB">
            <w:pPr>
              <w:spacing w:after="0" w:line="240" w:lineRule="auto"/>
            </w:pPr>
          </w:p>
          <w:p w:rsidR="005A19A1" w:rsidRPr="009B19FE" w:rsidRDefault="005A19A1" w:rsidP="00267DAB">
            <w:pPr>
              <w:spacing w:after="0" w:line="240" w:lineRule="auto"/>
              <w:rPr>
                <w:sz w:val="24"/>
                <w:szCs w:val="24"/>
                <w:lang w:eastAsia="en-US"/>
              </w:rPr>
            </w:pP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991BEC" w:rsidP="00C3748C">
            <w:pPr>
              <w:spacing w:after="0" w:line="240" w:lineRule="auto"/>
              <w:jc w:val="center"/>
              <w:rPr>
                <w:sz w:val="24"/>
                <w:szCs w:val="24"/>
                <w:lang w:eastAsia="en-US"/>
              </w:rPr>
            </w:pPr>
            <w:r>
              <w:rPr>
                <w:rFonts w:ascii="Times New Roman" w:hAnsi="Times New Roman"/>
                <w:i/>
              </w:rPr>
              <w:t>“Angelique Lemay”</w:t>
            </w:r>
          </w:p>
        </w:tc>
        <w:tc>
          <w:tcPr>
            <w:tcW w:w="1890" w:type="dxa"/>
            <w:tcBorders>
              <w:top w:val="nil"/>
              <w:left w:val="nil"/>
              <w:bottom w:val="nil"/>
              <w:right w:val="single" w:sz="12" w:space="0" w:color="000000"/>
            </w:tcBorders>
          </w:tcPr>
          <w:p w:rsidR="00A65AE0" w:rsidRPr="009B19FE" w:rsidRDefault="00991BEC" w:rsidP="00C3748C">
            <w:pPr>
              <w:spacing w:after="0" w:line="240" w:lineRule="auto"/>
              <w:rPr>
                <w:sz w:val="24"/>
                <w:szCs w:val="24"/>
                <w:lang w:eastAsia="en-US"/>
              </w:rPr>
            </w:pPr>
            <w:r>
              <w:rPr>
                <w:rFonts w:ascii="Times New Roman" w:hAnsi="Times New Roman"/>
                <w:i/>
              </w:rPr>
              <w:t>July 2014</w:t>
            </w:r>
            <w:bookmarkStart w:id="0" w:name="_GoBack"/>
            <w:bookmarkEnd w:id="0"/>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991BEC" w:rsidRDefault="00991BEC"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Students are expected to comply with the CYW Code of Ethics and the Sault College Code of Conduct.</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Students are expected to observe the CYW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991BEC" w:rsidRDefault="00991BEC"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991BEC" w:rsidRDefault="00991BEC"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 xml:space="preserve">The provisions contained in the addendum are located on the portal </w:t>
            </w:r>
            <w:r w:rsidR="00991BEC">
              <w:rPr>
                <w:rFonts w:ascii="Arial" w:hAnsi="Arial" w:cs="Arial"/>
              </w:rPr>
              <w:t xml:space="preserve">and </w:t>
            </w:r>
            <w:proofErr w:type="spellStart"/>
            <w:r w:rsidR="00991BEC">
              <w:rPr>
                <w:rFonts w:ascii="Arial" w:hAnsi="Arial" w:cs="Arial"/>
              </w:rPr>
              <w:t>LMS</w:t>
            </w:r>
            <w:proofErr w:type="spellEnd"/>
            <w:r w:rsidR="00991BEC">
              <w:t xml:space="preserve"> </w:t>
            </w:r>
            <w:r w:rsidRPr="00116607">
              <w:t>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r>
        <w:t>nothing about.</w:t>
      </w:r>
      <w:r>
        <w:br w:type="page"/>
      </w:r>
    </w:p>
    <w:p w:rsidR="00A65AE0" w:rsidRDefault="00A65AE0" w:rsidP="00C3748C">
      <w:pPr>
        <w:spacing w:after="0" w:line="240" w:lineRule="auto"/>
        <w:rPr>
          <w:b/>
        </w:rPr>
      </w:pPr>
      <w:r>
        <w:rPr>
          <w:b/>
        </w:rPr>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2B" w:rsidRDefault="0041172B" w:rsidP="00116607">
      <w:pPr>
        <w:spacing w:after="0" w:line="240" w:lineRule="auto"/>
      </w:pPr>
      <w:r>
        <w:separator/>
      </w:r>
    </w:p>
  </w:endnote>
  <w:endnote w:type="continuationSeparator" w:id="0">
    <w:p w:rsidR="0041172B" w:rsidRDefault="0041172B"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2B" w:rsidRDefault="0041172B" w:rsidP="00116607">
      <w:pPr>
        <w:spacing w:after="0" w:line="240" w:lineRule="auto"/>
      </w:pPr>
      <w:r>
        <w:separator/>
      </w:r>
    </w:p>
  </w:footnote>
  <w:footnote w:type="continuationSeparator" w:id="0">
    <w:p w:rsidR="0041172B" w:rsidRDefault="0041172B"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991BEC">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67DAB"/>
    <w:rsid w:val="002717F1"/>
    <w:rsid w:val="002F6A73"/>
    <w:rsid w:val="003C2D87"/>
    <w:rsid w:val="003C41A7"/>
    <w:rsid w:val="0041172B"/>
    <w:rsid w:val="00445034"/>
    <w:rsid w:val="00491FB6"/>
    <w:rsid w:val="005327FF"/>
    <w:rsid w:val="005A19A1"/>
    <w:rsid w:val="00601E22"/>
    <w:rsid w:val="006C4A64"/>
    <w:rsid w:val="007D0DFF"/>
    <w:rsid w:val="0089104F"/>
    <w:rsid w:val="008F42C8"/>
    <w:rsid w:val="0090215F"/>
    <w:rsid w:val="00923BBD"/>
    <w:rsid w:val="00991BEC"/>
    <w:rsid w:val="009B19FE"/>
    <w:rsid w:val="009B4322"/>
    <w:rsid w:val="00A47C3B"/>
    <w:rsid w:val="00A51245"/>
    <w:rsid w:val="00A516B8"/>
    <w:rsid w:val="00A65AE0"/>
    <w:rsid w:val="00B0699C"/>
    <w:rsid w:val="00B06E73"/>
    <w:rsid w:val="00BE2CC4"/>
    <w:rsid w:val="00BF1AB4"/>
    <w:rsid w:val="00C3748C"/>
    <w:rsid w:val="00C374BC"/>
    <w:rsid w:val="00D46834"/>
    <w:rsid w:val="00D50075"/>
    <w:rsid w:val="00EF5D85"/>
    <w:rsid w:val="00F1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8AE5D-D8BA-490B-8228-6BFA3BD4DFE3}"/>
</file>

<file path=customXml/itemProps2.xml><?xml version="1.0" encoding="utf-8"?>
<ds:datastoreItem xmlns:ds="http://schemas.openxmlformats.org/officeDocument/2006/customXml" ds:itemID="{2F9FB5B0-B0EB-415C-92D9-423FB57AF44E}"/>
</file>

<file path=customXml/itemProps3.xml><?xml version="1.0" encoding="utf-8"?>
<ds:datastoreItem xmlns:ds="http://schemas.openxmlformats.org/officeDocument/2006/customXml" ds:itemID="{40B700F5-67BE-42F5-906C-F95E48C9CA7B}"/>
</file>

<file path=docProps/app.xml><?xml version="1.0" encoding="utf-8"?>
<Properties xmlns="http://schemas.openxmlformats.org/officeDocument/2006/extended-properties" xmlns:vt="http://schemas.openxmlformats.org/officeDocument/2006/docPropsVTypes">
  <Template>Normal.dotm</Template>
  <TotalTime>11</TotalTime>
  <Pages>8</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3</cp:revision>
  <cp:lastPrinted>2014-07-10T14:36:00Z</cp:lastPrinted>
  <dcterms:created xsi:type="dcterms:W3CDTF">2014-05-02T17:09:00Z</dcterms:created>
  <dcterms:modified xsi:type="dcterms:W3CDTF">2014-07-10T14:37:00Z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2420600</vt:r8>
  </property>
</Properties>
</file>